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Política de uso de inteligencia artificial</w:t>
      </w:r>
    </w:p>
    <w:p>
      <w:pPr/>
      <w:r>
        <w:rPr>
          <w:b/>
        </w:rPr>
        <w:t xml:space="preserve">[Nombre de la empresa]</w:t>
      </w:r>
      <w:r>
        <w:rPr/>
        <w:t xml:space="preserve"> · NIT [número] · Versión [1.0] · Vigente desde [fecha]</w:t>
      </w:r>
    </w:p>
    <w:p>
      <w:pPr/>
      <w:r>
        <w:rPr/>
        <w:t xml:space="preserve">Responsable de la política: [cargo o área] · Aprobada por: [órgano o cargo] · Próxima revisión: [fecha]</w:t>
      </w:r>
    </w:p>
    <w:p>
      <w:pPr>
        <w:pStyle w:val="Note"/>
      </w:pPr>
      <w:r>
        <w:rPr/>
        <w:t xml:space="preserve">Plantilla de uso libre publicada por NiuCore (niucore.com). Puede copiarla, modificarla y adaptarla. Los textos entre corchetes deben completarse. Esta plantilla no constituye asesoría jurídica: se recomienda revisarla con el área jurídica o un abogado antes de adoptarla.</w:t>
      </w:r>
    </w:p>
    <w:p>
      <w:pPr>
        <w:pStyle w:val="Heading1"/>
        <w:keepNext/>
      </w:pPr>
      <w:r>
        <w:rPr/>
        <w:t xml:space="preserve">1. Objeto</w:t>
      </w:r>
    </w:p>
    <w:p>
      <w:pPr/>
      <w:r>
        <w:rPr/>
        <w:t xml:space="preserve">Esta política establece las reglas para el uso de herramientas de inteligencia artificial (IA) en [Nombre de la empresa], con el fin de aprovechar sus beneficios protegiendo la información de la empresa, de sus clientes y de las personas cuyos datos trata, y cumpliendo la normativa aplicable.</w:t>
      </w:r>
    </w:p>
    <w:p>
      <w:pPr>
        <w:pStyle w:val="Heading1"/>
        <w:keepNext/>
      </w:pPr>
      <w:r>
        <w:rPr/>
        <w:t xml:space="preserve">2. Alcance</w:t>
      </w:r>
    </w:p>
    <w:p>
      <w:pPr/>
      <w:r>
        <w:rPr/>
        <w:t xml:space="preserve">Se aplica a todas las personas que trabajan para [Nombre de la empresa] o en su nombre —colaboradores, practicantes, contratistas y proveedores con acceso a información de la empresa—, a todas las herramientas de IA que utilicen para tareas de trabajo, con independencia de quién las haya contratado, y a toda la información de la empresa, de sus clientes y de terceros.</w:t>
      </w:r>
    </w:p>
    <w:p>
      <w:pPr>
        <w:pStyle w:val="Heading1"/>
        <w:keepNext/>
      </w:pPr>
      <w:r>
        <w:rPr/>
        <w:t xml:space="preserve">3. Definiciones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Herramienta de IA:</w:t>
      </w:r>
      <w:r>
        <w:rPr/>
        <w:t xml:space="preserve"> servicio o aplicación que genera, resume, traduce, clasifica o analiza contenido mediante modelos de inteligencia artificial, incluidos los asistentes conversacionales, las funciones de IA integradas en otras aplicaciones y las extensiones del navegador.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Herramienta aprobada:</w:t>
      </w:r>
      <w:r>
        <w:rPr/>
        <w:t xml:space="preserve"> herramienta de IA incluida en la lista vigente de la sección 5, contratada por la empresa y utilizada con una cuenta corporativa.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Información confidencial:</w:t>
      </w:r>
      <w:r>
        <w:rPr/>
        <w:t xml:space="preserve"> información que no es pública y cuya divulgación podría perjudicar a la empresa, a sus clientes o a terceros, como contratos, cifras financieras, estrategia, código fuente o información de clientes.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Dato personal:</w:t>
      </w:r>
      <w:r>
        <w:rPr/>
        <w:t xml:space="preserve"> información vinculada o que pueda asociarse a una persona natural determinada o determinable, en los términos de la Ley 1581 de 2012.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Dato sensible:</w:t>
      </w:r>
      <w:r>
        <w:rPr/>
        <w:t xml:space="preserve"> dato personal que afecta la intimidad de su titular o cuyo uso indebido puede generar discriminación, en los términos de la Ley 1581 de 2012, como los relativos a la salud, al origen racial o étnico o los datos biométricos.</w:t>
      </w:r>
    </w:p>
    <w:p>
      <w:pPr>
        <w:pStyle w:val="Heading1"/>
        <w:keepNext/>
      </w:pPr>
      <w:r>
        <w:rPr/>
        <w:t xml:space="preserve">4. Principios</w:t>
      </w:r>
    </w:p>
    <w:p>
      <w:pPr>
        <w:pStyle w:val="NumberedItem"/>
      </w:pPr>
      <w:r>
        <w:rPr/>
        <w:t xml:space="preserve">1. </w:t>
      </w:r>
      <w:r>
        <w:rPr>
          <w:b/>
        </w:rPr>
        <w:t xml:space="preserve">Supervisión humana:</w:t>
      </w:r>
      <w:r>
        <w:rPr/>
        <w:t xml:space="preserve"> la IA asiste; las personas deciden y responden por el resultado.</w:t>
      </w:r>
    </w:p>
    <w:p>
      <w:pPr>
        <w:pStyle w:val="NumberedItem"/>
      </w:pPr>
      <w:r>
        <w:rPr/>
        <w:t xml:space="preserve">2. </w:t>
      </w:r>
      <w:r>
        <w:rPr>
          <w:b/>
        </w:rPr>
        <w:t xml:space="preserve">Confidencialidad:</w:t>
      </w:r>
      <w:r>
        <w:rPr/>
        <w:t xml:space="preserve"> la información se usa solo en herramientas aprobadas y según su clasificación.</w:t>
      </w:r>
    </w:p>
    <w:p>
      <w:pPr>
        <w:pStyle w:val="NumberedItem"/>
      </w:pPr>
      <w:r>
        <w:rPr/>
        <w:t xml:space="preserve">3. </w:t>
      </w:r>
      <w:r>
        <w:rPr>
          <w:b/>
        </w:rPr>
        <w:t xml:space="preserve">Legalidad:</w:t>
      </w:r>
      <w:r>
        <w:rPr/>
        <w:t xml:space="preserve"> el uso de la IA respeta la normativa de protección de datos personales, la propiedad intelectual y los compromisos contractuales de la empresa.</w:t>
      </w:r>
    </w:p>
    <w:p>
      <w:pPr>
        <w:pStyle w:val="NumberedItem"/>
      </w:pPr>
      <w:r>
        <w:rPr/>
        <w:t xml:space="preserve">4. </w:t>
      </w:r>
      <w:r>
        <w:rPr>
          <w:b/>
        </w:rPr>
        <w:t xml:space="preserve">Minimización:</w:t>
      </w:r>
      <w:r>
        <w:rPr/>
        <w:t xml:space="preserve"> se comparte solo la información necesaria para la tarea.</w:t>
      </w:r>
    </w:p>
    <w:p>
      <w:pPr>
        <w:pStyle w:val="NumberedItem"/>
      </w:pPr>
      <w:r>
        <w:rPr/>
        <w:t xml:space="preserve">5. </w:t>
      </w:r>
      <w:r>
        <w:rPr>
          <w:b/>
        </w:rPr>
        <w:t xml:space="preserve">Transparencia:</w:t>
      </w:r>
      <w:r>
        <w:rPr/>
        <w:t xml:space="preserve"> la empresa informa el uso de IA cuando corresponde, según la sección 10.</w:t>
      </w:r>
    </w:p>
    <w:p>
      <w:pPr>
        <w:pStyle w:val="Heading1"/>
        <w:keepNext/>
      </w:pPr>
      <w:r>
        <w:rPr/>
        <w:t xml:space="preserve">5. Herramientas aprobadas</w:t>
      </w:r>
    </w:p>
    <w:p>
      <w:pPr/>
      <w:r>
        <w:rPr/>
        <w:t xml:space="preserve">5.1. Solo pueden usarse para tareas de trabajo las herramientas de la siguiente lista, con cuenta corporativa:</w:t>
      </w:r>
    </w:p>
    <w:tbl>
      <w:tblPr>
        <w:tblW w:w="9000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Herramienta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Usos autorizados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Clases de información admitidas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Responsable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[Nombre]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[Usos]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[Clases]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[Área]</w:t>
            </w:r>
          </w:p>
        </w:tc>
      </w:tr>
    </w:tbl>
    <w:p/>
    <w:p>
      <w:pPr/>
      <w:r>
        <w:rPr/>
        <w:t xml:space="preserve">5.2. [Área responsable] mantiene esta lista y la publica en [ubicación].</w:t>
      </w:r>
    </w:p>
    <w:p>
      <w:pPr/>
      <w:r>
        <w:rPr/>
        <w:t xml:space="preserve">5.3. Para solicitar una nueva herramienta, el interesado la propone a [área responsable] indicando el uso previsto y la información que se utilizaría. [Área responsable] la evalúa —condiciones del proveedor, tratamiento de la información, seguridad y costo— y responde en un plazo de [número] días hábiles.</w:t>
      </w:r>
    </w:p>
    <w:p>
      <w:pPr>
        <w:pStyle w:val="Heading1"/>
        <w:keepNext/>
      </w:pPr>
      <w:r>
        <w:rPr/>
        <w:t xml:space="preserve">6. Clasificación de la información</w:t>
      </w:r>
    </w:p>
    <w:tbl>
      <w:tblPr>
        <w:tblW w:w="9000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Clase de información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Ejemplos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Herramientas aprobadas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Herramientas no aprobadas o cuentas personales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Pública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Contenido del sitio web, comunicados publicados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Sí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Sí, con criterio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Interna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Procedimientos, actas sin datos sensibles, borradores internos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Sí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No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Confidencial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Contratos, cifras financieras, estrategia, código fuente, información de clientes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Sí, con la protección que defina la empresa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No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Datos personales y sensibles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Nombres, documentos de identidad, datos de contacto, salud, datos financieros de personas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Solo si la tarea lo requiere y con protección, preferiblemente con los datos sustituidos antes del envío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Nunca</w:t>
            </w:r>
          </w:p>
        </w:tc>
      </w:tr>
    </w:tbl>
    <w:p/>
    <w:p>
      <w:pPr/>
      <w:r>
        <w:rPr/>
        <w:t xml:space="preserve">En caso de duda sobre la clase de una información, se trata como la clase más restrictiva y se consulta a [área responsable].</w:t>
      </w:r>
    </w:p>
    <w:p>
      <w:pPr>
        <w:pStyle w:val="Heading1"/>
        <w:keepNext/>
      </w:pPr>
      <w:r>
        <w:rPr/>
        <w:t xml:space="preserve">7. Usos permitidos, sujetos a aprobación y prohibidos</w:t>
      </w:r>
    </w:p>
    <w:p>
      <w:pPr/>
      <w:r>
        <w:rPr/>
        <w:t xml:space="preserve">7.1. </w:t>
      </w:r>
      <w:r>
        <w:rPr>
          <w:b/>
        </w:rPr>
        <w:t xml:space="preserve">Permitidos</w:t>
      </w:r>
      <w:r>
        <w:rPr/>
        <w:t xml:space="preserve"> en herramientas aprobadas, con revisión humana del resultado: redactar, resumir, traducir, analizar y consultar documentos internos; preparar borradores de comunicaciones; apoyar la búsqueda de información.</w:t>
      </w:r>
    </w:p>
    <w:p>
      <w:pPr/>
      <w:r>
        <w:rPr/>
        <w:t xml:space="preserve">7.2. </w:t>
      </w:r>
      <w:r>
        <w:rPr>
          <w:b/>
        </w:rPr>
        <w:t xml:space="preserve">Sujetos a aprobación previa</w:t>
      </w:r>
      <w:r>
        <w:rPr/>
        <w:t xml:space="preserve"> de [área responsable]: usar la IA en procesos con clientes; automatizar tareas recurrentes; conectar la herramienta a otros sistemas de la empresa; procesar datos personales a gran escala o datos sensibles.</w:t>
      </w:r>
    </w:p>
    <w:p>
      <w:pPr/>
      <w:r>
        <w:rPr/>
        <w:t xml:space="preserve">7.3. </w:t>
      </w:r>
      <w:r>
        <w:rPr>
          <w:b/>
        </w:rPr>
        <w:t xml:space="preserve">Prohibidos:</w:t>
      </w:r>
    </w:p>
    <w:p>
      <w:pPr>
        <w:pStyle w:val="ListParagraph"/>
        <w:numPr>
          <w:ilvl w:val="0"/>
          <w:numId w:val="1"/>
        </w:numPr>
      </w:pPr>
      <w:r>
        <w:rPr/>
        <w:t xml:space="preserve">Compartir información interna, confidencial o datos personales en herramientas no aprobadas o en cuentas personales.</w:t>
      </w:r>
    </w:p>
    <w:p>
      <w:pPr>
        <w:pStyle w:val="ListParagraph"/>
        <w:numPr>
          <w:ilvl w:val="0"/>
          <w:numId w:val="1"/>
        </w:numPr>
      </w:pPr>
      <w:r>
        <w:rPr/>
        <w:t xml:space="preserve">Tomar decisiones que afecten a personas —contratación, evaluación, crédito, sanciones— solo con base en un resultado de IA.</w:t>
      </w:r>
    </w:p>
    <w:p>
      <w:pPr>
        <w:pStyle w:val="ListParagraph"/>
        <w:numPr>
          <w:ilvl w:val="0"/>
          <w:numId w:val="1"/>
        </w:numPr>
      </w:pPr>
      <w:r>
        <w:rPr/>
        <w:t xml:space="preserve">Presentar como verificado un contenido generado con IA que no se revisó.</w:t>
      </w:r>
    </w:p>
    <w:p>
      <w:pPr>
        <w:pStyle w:val="ListParagraph"/>
        <w:numPr>
          <w:ilvl w:val="0"/>
          <w:numId w:val="1"/>
        </w:numPr>
      </w:pPr>
      <w:r>
        <w:rPr/>
        <w:t xml:space="preserve">Usar la IA para fines ilícitos, discriminatorios o contrarios a las políticas de la empresa.</w:t>
      </w:r>
    </w:p>
    <w:p>
      <w:pPr>
        <w:pStyle w:val="ListParagraph"/>
        <w:numPr>
          <w:ilvl w:val="0"/>
          <w:numId w:val="1"/>
        </w:numPr>
      </w:pPr>
      <w:r>
        <w:rPr/>
        <w:t xml:space="preserve">Eludir los controles de seguridad o de protección de datos de las herramientas aprobadas.</w:t>
      </w:r>
    </w:p>
    <w:p>
      <w:pPr>
        <w:pStyle w:val="Heading1"/>
        <w:keepNext/>
      </w:pPr>
      <w:r>
        <w:rPr/>
        <w:t xml:space="preserve">8. Protección de datos personales</w:t>
      </w:r>
    </w:p>
    <w:p>
      <w:pPr/>
      <w:r>
        <w:rPr/>
        <w:t xml:space="preserve">8.1. El uso de datos personales en herramientas de IA es un tratamiento de datos sujeto a la Ley 1581 de 2012 y a la política de tratamiento de datos personales de la empresa, y se orienta por los criterios de idoneidad, necesidad, razonabilidad y proporcionalidad de la Circular Externa 002 de 2024 de la Superintendencia de Industria y Comercio.</w:t>
      </w:r>
    </w:p>
    <w:p>
      <w:pPr/>
      <w:r>
        <w:rPr/>
        <w:t xml:space="preserve">8.2. Solo se usan datos personales cuando la tarea lo requiere y en la menor cantidad posible.</w:t>
      </w:r>
    </w:p>
    <w:p>
      <w:pPr/>
      <w:r>
        <w:rPr/>
        <w:t xml:space="preserve">8.3. Siempre que sea posible, los datos personales se sustituyen por marcadores o se eliminan antes de enviarse a la herramienta.</w:t>
      </w:r>
    </w:p>
    <w:p>
      <w:pPr/>
      <w:r>
        <w:rPr/>
        <w:t xml:space="preserve">8.4. Antes de incorporar la IA a un proceso que trate datos personales a gran escala o datos sensibles, [área responsable] evalúa su impacto y deja constancia de la evaluación y de las medidas adoptadas.</w:t>
      </w:r>
    </w:p>
    <w:p>
      <w:pPr/>
      <w:r>
        <w:rPr/>
        <w:t xml:space="preserve">8.5. Las herramientas aprobadas que traten datos personales deben contar con condiciones contractuales que protejan esa información.</w:t>
      </w:r>
    </w:p>
    <w:p>
      <w:pPr>
        <w:pStyle w:val="Heading1"/>
        <w:keepNext/>
      </w:pPr>
      <w:r>
        <w:rPr/>
        <w:t xml:space="preserve">9. Revisión humana y responsabilidad</w:t>
      </w:r>
    </w:p>
    <w:p>
      <w:pPr/>
      <w:r>
        <w:rPr/>
        <w:t xml:space="preserve">9.1. La persona que usa la IA es responsable del resultado que entrega o utiliza, como si lo hubiera elaborado sin ella.</w:t>
      </w:r>
    </w:p>
    <w:p>
      <w:pPr/>
      <w:r>
        <w:rPr/>
        <w:t xml:space="preserve">9.2. Antes de usar un resultado, se verifican las cifras, las citas, las referencias normativas y cualquier afirmación sobre hechos. Los modelos de IA pueden producir información inexacta con apariencia verosímil.</w:t>
      </w:r>
    </w:p>
    <w:p>
      <w:pPr>
        <w:pStyle w:val="Heading1"/>
        <w:keepNext/>
      </w:pPr>
      <w:r>
        <w:rPr/>
        <w:t xml:space="preserve">10. Transparencia</w:t>
      </w:r>
    </w:p>
    <w:p>
      <w:pPr/>
      <w:r>
        <w:rPr/>
        <w:t xml:space="preserve">[Nombre de la empresa] informa a sus clientes o a terceros el uso de IA cuando: [lo exija el contrato o la normativa aplicable / el contenido se entregue sin revisión sustancial / otros casos que defina la empresa].</w:t>
      </w:r>
    </w:p>
    <w:p>
      <w:pPr>
        <w:pStyle w:val="Heading1"/>
        <w:keepNext/>
      </w:pPr>
      <w:r>
        <w:rPr/>
        <w:t xml:space="preserve">11. Propiedad intelectual</w:t>
      </w:r>
    </w:p>
    <w:p>
      <w:pPr/>
      <w:r>
        <w:rPr/>
        <w:t xml:space="preserve">11.1. No se cargan en herramientas de IA materiales de terceros sobre los que la empresa no tenga derechos o autorización para ese uso.</w:t>
      </w:r>
    </w:p>
    <w:p>
      <w:pPr/>
      <w:r>
        <w:rPr/>
        <w:t xml:space="preserve">11.2. Los resultados obtenidos con IA para la empresa se tratan como información de la empresa, según su clasificación.</w:t>
      </w:r>
    </w:p>
    <w:p>
      <w:pPr>
        <w:pStyle w:val="Heading1"/>
        <w:keepNext/>
      </w:pPr>
      <w:r>
        <w:rPr/>
        <w:t xml:space="preserve">12. Cuentas, seguridad y gasto</w:t>
      </w:r>
    </w:p>
    <w:p>
      <w:pPr/>
      <w:r>
        <w:rPr/>
        <w:t xml:space="preserve">12.1. Las herramientas aprobadas se usan con cuentas corporativas, protegidas con los mecanismos de acceso que defina la empresa.</w:t>
      </w:r>
    </w:p>
    <w:p>
      <w:pPr/>
      <w:r>
        <w:rPr/>
        <w:t xml:space="preserve">12.2. Las cuentas se desactivan al terminar la relación con la empresa.</w:t>
      </w:r>
    </w:p>
    <w:p>
      <w:pPr/>
      <w:r>
        <w:rPr/>
        <w:t xml:space="preserve">12.3. La contratación de herramientas de IA se hace solo a través de [área responsable]. No se contratan herramientas de IA con tarjetas personales ni por reembolso sin aprobación previa.</w:t>
      </w:r>
    </w:p>
    <w:p>
      <w:pPr>
        <w:pStyle w:val="Heading1"/>
        <w:keepNext/>
      </w:pPr>
      <w:r>
        <w:rPr/>
        <w:t xml:space="preserve">13. Capacitación</w:t>
      </w:r>
    </w:p>
    <w:p>
      <w:pPr/>
      <w:r>
        <w:rPr/>
        <w:t xml:space="preserve">Toda persona incluida en el alcance recibe formación sobre esta política al vincularse y, como mínimo, [una vez al año].</w:t>
      </w:r>
    </w:p>
    <w:p>
      <w:pPr>
        <w:pStyle w:val="Heading1"/>
        <w:keepNext/>
      </w:pPr>
      <w:r>
        <w:rPr/>
        <w:t xml:space="preserve">14. Incidentes</w:t>
      </w:r>
    </w:p>
    <w:p>
      <w:pPr/>
      <w:r>
        <w:rPr/>
        <w:t xml:space="preserve">14.1. Quien comparta por error información que no debía, o detecte un uso contrario a esta política, lo informa a [contacto o canal] dentro de las [número] horas siguientes.</w:t>
      </w:r>
    </w:p>
    <w:p>
      <w:pPr/>
      <w:r>
        <w:rPr/>
        <w:t xml:space="preserve">14.2. [Área responsable] evalúa el incidente, adopta las medidas necesarias y, cuando involucre datos personales, aplica el procedimiento de gestión de incidentes de seguridad de la información de la empresa.</w:t>
      </w:r>
    </w:p>
    <w:p>
      <w:pPr/>
      <w:r>
        <w:rPr/>
        <w:t xml:space="preserve">14.3. Reportar un incidente de buena fe no da lugar a sanciones por el hecho de reportarlo.</w:t>
      </w:r>
    </w:p>
    <w:p>
      <w:pPr>
        <w:pStyle w:val="Heading1"/>
        <w:keepNext/>
      </w:pPr>
      <w:r>
        <w:rPr/>
        <w:t xml:space="preserve">15. Roles y cumplimiento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[Órgano o cargo que aprueba]:</w:t>
      </w:r>
      <w:r>
        <w:rPr/>
        <w:t xml:space="preserve"> aprueba la política y sus cambios.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[Área responsable]:</w:t>
      </w:r>
      <w:r>
        <w:rPr/>
        <w:t xml:space="preserve"> mantiene la lista de herramientas aprobadas, atiende solicitudes e incidentes y hace seguimiento del uso.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Líderes de área:</w:t>
      </w:r>
      <w:r>
        <w:rPr/>
        <w:t xml:space="preserve"> velan por su aplicación en sus equipos.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Cada persona:</w:t>
      </w:r>
      <w:r>
        <w:rPr/>
        <w:t xml:space="preserve"> cumple la política y reporta los incidentes.</w:t>
      </w:r>
    </w:p>
    <w:p>
      <w:pPr/>
      <w:r>
        <w:rPr/>
        <w:t xml:space="preserve">El incumplimiento de esta política se trata según el reglamento interno de trabajo y los contratos aplicables.</w:t>
      </w:r>
    </w:p>
    <w:p>
      <w:pPr>
        <w:pStyle w:val="Heading1"/>
        <w:keepNext/>
      </w:pPr>
      <w:r>
        <w:rPr/>
        <w:t xml:space="preserve">16. Revisión y aceptación</w:t>
      </w:r>
    </w:p>
    <w:p>
      <w:pPr/>
      <w:r>
        <w:rPr/>
        <w:t xml:space="preserve">16.1. Esta política se revisa al menos cada [seis meses] y siempre que cambien las herramientas aprobadas, los proveedores o la normativa aplicable.</w:t>
      </w:r>
    </w:p>
    <w:p>
      <w:pPr/>
      <w:r>
        <w:rPr/>
        <w:t xml:space="preserve">16.2. Constancia de lectura:</w:t>
      </w:r>
    </w:p>
    <w:p>
      <w:pPr/>
      <w:r>
        <w:rPr/>
        <w:t xml:space="preserve">Declaro que he leído y comprendido la Política de uso de inteligencia artificial de [Nombre de la empresa] y me comprometo a cumplirla.</w:t>
      </w:r>
    </w:p>
    <w:p>
      <w:pPr/>
      <w:r>
        <w:rPr/>
        <w:t xml:space="preserve">Nombre: ______________________ · Documento: ______________ · Cargo: ______________</w:t>
      </w:r>
    </w:p>
    <w:p>
      <w:pPr/>
      <w:r>
        <w:rPr/>
        <w:t xml:space="preserve">Firma: ______________________ · Fecha: ______________</w:t>
      </w:r>
    </w:p>
    <w:sectPr>
      <w:pgSz w:w="12240" w:h="15840"/>
      <w:pgMar w:top="1418" w:right="1418" w:bottom="1418" w:left="141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es-CO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1"/>
    </w:rPr>
  </w:style>
  <w:style w:type="paragraph" w:styleId="NumberedItem">
    <w:name w:val="Numbered Item"/>
    <w:basedOn w:val="Normal"/>
    <w:pPr>
      <w:tabs>
        <w:tab w:val="left" w:pos="720"/>
      </w:tabs>
      <w:spacing w:after="80"/>
      <w:ind w:left="720" w:hanging="360"/>
    </w:pPr>
  </w:style>
  <w:style w:type="paragraph" w:styleId="Title">
    <w:name w:val="Title"/>
    <w:basedOn w:val="Normal"/>
    <w:pPr>
      <w:spacing w:after="160"/>
    </w:pPr>
    <w:rPr>
      <w:b/>
      <w:color w:val="0B132B"/>
      <w:sz w:val="40"/>
    </w:rPr>
  </w:style>
  <w:style w:type="paragraph" w:styleId="Heading1">
    <w:name w:val="heading 1"/>
    <w:basedOn w:val="Normal"/>
    <w:pPr>
      <w:spacing w:before="280" w:after="100"/>
      <w:outlineLvl w:val="0"/>
    </w:pPr>
    <w:rPr>
      <w:b/>
      <w:color w:val="00797E"/>
      <w:sz w:val="26"/>
    </w:rPr>
  </w:style>
  <w:style w:type="paragraph" w:styleId="ListParagraph">
    <w:name w:val="List Paragraph"/>
    <w:basedOn w:val="Normal"/>
    <w:pPr>
      <w:spacing w:after="80"/>
    </w:pPr>
  </w:style>
  <w:style w:type="paragraph" w:styleId="TableText">
    <w:name w:val="Table Text"/>
    <w:basedOn w:val="Normal"/>
    <w:pPr>
      <w:spacing w:after="0"/>
    </w:pPr>
    <w:rPr>
      <w:sz w:val="19"/>
    </w:rPr>
  </w:style>
  <w:style w:type="paragraph" w:styleId="Note">
    <w:name w:val="Note"/>
    <w:basedOn w:val="Normal"/>
    <w:pPr>
      <w:pBdr>
        <w:left w:val="single" w:sz="12" w:space="8" w:color="01BFC6"/>
      </w:pBdr>
      <w:shd w:val="clear" w:color="auto" w:fill="F2F2F2"/>
      <w:ind w:left="200"/>
    </w:pPr>
    <w:rPr>
      <w:i/>
      <w:sz w:val="19"/>
      <w:color w:val="40404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Política de uso de inteligencia artificial (plantilla)</dc:title>
  <dc:creator>NiuCore</dc:creator>
  <dc:language>es-CO</dc:language>
</cp:coreProperties>
</file>