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Evaluación de plataformas de gobernanza de IA</w:t>
      </w:r>
    </w:p>
    <w:p>
      <w:pPr/>
      <w:r>
        <w:rPr>
          <w:b/>
        </w:rPr>
        <w:t xml:space="preserve">[Nombre de la empresa]</w:t>
      </w:r>
      <w:r>
        <w:rPr/>
        <w:t xml:space="preserve"> · Fecha de la evaluación: [fecha] · Responsable: [cargo o área]</w:t>
      </w:r>
    </w:p>
    <w:p>
      <w:pPr/>
      <w:r>
        <w:rPr/>
        <w:t xml:space="preserve">Equipo evaluador: [tecnología o seguridad de la información] · [área jurídica] · [áreas de negocio]</w:t>
      </w:r>
    </w:p>
    <w:p>
      <w:pPr>
        <w:pStyle w:val="Note"/>
      </w:pPr>
      <w:r>
        <w:rPr/>
        <w:t xml:space="preserve">Plantilla de uso libre publicada por NiuCore (niucore.com), que acompaña el artículo «Plataformas de gobernanza de IA: qué evaluar antes de elegir una». Puede copiarla, modificarla y adaptarla. Los textos entre corchetes deben completarse. No constituye asesoría jurídica: las preguntas de cumplimiento deben revisarse con el asesor jurídico de la organización.</w:t>
      </w:r>
    </w:p>
    <w:p>
      <w:pPr>
        <w:pStyle w:val="Heading1"/>
        <w:keepNext/>
      </w:pPr>
      <w:r>
        <w:rPr/>
        <w:t xml:space="preserve">1. Cómo usar esta plantilla</w:t>
      </w:r>
    </w:p>
    <w:p>
      <w:pPr>
        <w:pStyle w:val="NumberedItem"/>
      </w:pPr>
      <w:r>
        <w:rPr/>
        <w:t xml:space="preserve">1. Asigne a cada pregunta un </w:t>
      </w:r>
      <w:r>
        <w:rPr>
          <w:b/>
        </w:rPr>
        <w:t xml:space="preserve">peso de 1 a 5</w:t>
      </w:r>
      <w:r>
        <w:rPr/>
        <w:t xml:space="preserve"> según la prioridad de su empresa (5 = imprescindible). Hágalo antes de recibir las respuestas de los proveedores.</w:t>
      </w:r>
    </w:p>
    <w:p>
      <w:pPr>
        <w:pStyle w:val="NumberedItem"/>
      </w:pPr>
      <w:r>
        <w:rPr/>
        <w:t xml:space="preserve">2. Envíe las preguntas por escrito a cada proveedor y anote la fecha de su respuesta en la sección 2.</w:t>
      </w:r>
    </w:p>
    <w:p>
      <w:pPr>
        <w:pStyle w:val="NumberedItem"/>
      </w:pPr>
      <w:r>
        <w:rPr/>
        <w:t xml:space="preserve">3. Puntúe cada respuesta de </w:t>
      </w:r>
      <w:r>
        <w:rPr>
          <w:b/>
        </w:rPr>
        <w:t xml:space="preserve">1 a 5</w:t>
      </w:r>
      <w:r>
        <w:rPr/>
        <w:t xml:space="preserve"> con la escala de la sección 4. Si un proveedor no responde una pregunta, puntúe 1.</w:t>
      </w:r>
    </w:p>
    <w:p>
      <w:pPr>
        <w:pStyle w:val="NumberedItem"/>
      </w:pPr>
      <w:r>
        <w:rPr/>
        <w:t xml:space="preserve">4. Multiplique el peso por la puntuación de cada fila y sume los resultados por proveedor en la fila «Total ponderado».</w:t>
      </w:r>
    </w:p>
    <w:p>
      <w:pPr>
        <w:pStyle w:val="NumberedItem"/>
      </w:pPr>
      <w:r>
        <w:rPr/>
        <w:t xml:space="preserve">5. Confirme las puntuaciones con la prueba piloto de la sección 5 y registre la decisión en la sección 6.</w:t>
      </w:r>
    </w:p>
    <w:p>
      <w:pPr>
        <w:pStyle w:val="Heading1"/>
        <w:keepNext/>
      </w:pPr>
      <w:r>
        <w:rPr/>
        <w:t xml:space="preserve">2. Proveedores evaluados</w:t>
      </w:r>
    </w:p>
    <w:tbl>
      <w:tblPr>
        <w:tblW w:w="9000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250"/>
        <w:gridCol w:w="2250"/>
        <w:gridCol w:w="2250"/>
        <w:gridCol w:w="2250"/>
      </w:tblGrid>
      <w:tr>
        <w:trPr>
          <w:tblHeader/>
        </w:trPr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Proveedor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Nombre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Contacto</w:t>
            </w:r>
          </w:p>
        </w:tc>
        <w:tc>
          <w:tcPr>
            <w:tcW w:w="2250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Fecha de la respuesta escrita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A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[nombre]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[persona y correo]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[fecha]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B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[nombre]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[persona y correo]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[fecha]</w:t>
            </w:r>
          </w:p>
        </w:tc>
      </w:tr>
      <w:tr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C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[nombre]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[persona y correo]</w:t>
            </w:r>
          </w:p>
        </w:tc>
        <w:tc>
          <w:tcPr>
            <w:tcW w:w="2250" w:type="dxa"/>
          </w:tcPr>
          <w:p>
            <w:pPr>
              <w:pStyle w:val="TableText"/>
            </w:pPr>
            <w:r>
              <w:rPr/>
              <w:t xml:space="preserve">[fecha]</w:t>
            </w:r>
          </w:p>
        </w:tc>
      </w:tr>
    </w:tbl>
    <w:p/>
    <w:p>
      <w:pPr>
        <w:pStyle w:val="Heading1"/>
        <w:keepNext/>
      </w:pPr>
      <w:r>
        <w:rPr/>
        <w:t xml:space="preserve">3. Matriz de evaluación</w:t>
      </w:r>
    </w:p>
    <w:tbl>
      <w:tblPr>
        <w:tblW w:w="12997" w:type="dxa"/>
        <w:tblLayout w:type="fixed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966"/>
        <w:gridCol w:w="3926"/>
        <w:gridCol w:w="1221"/>
        <w:gridCol w:w="1221"/>
        <w:gridCol w:w="1221"/>
        <w:gridCol w:w="1221"/>
        <w:gridCol w:w="1221"/>
      </w:tblGrid>
      <w:tr>
        <w:trPr>
          <w:tblHeader/>
        </w:trPr>
        <w:tc>
          <w:tcPr>
            <w:tcW w:w="2966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Criterio</w:t>
            </w:r>
          </w:p>
        </w:tc>
        <w:tc>
          <w:tcPr>
            <w:tcW w:w="3926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Pregunta para el proveedor</w:t>
            </w:r>
          </w:p>
        </w:tc>
        <w:tc>
          <w:tcPr>
            <w:tcW w:w="1221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Peso (1–5)</w:t>
            </w:r>
          </w:p>
        </w:tc>
        <w:tc>
          <w:tcPr>
            <w:tcW w:w="1221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Proveedor A</w:t>
            </w:r>
          </w:p>
        </w:tc>
        <w:tc>
          <w:tcPr>
            <w:tcW w:w="1221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Proveedor B</w:t>
            </w:r>
          </w:p>
        </w:tc>
        <w:tc>
          <w:tcPr>
            <w:tcW w:w="1221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Proveedor C</w:t>
            </w:r>
          </w:p>
        </w:tc>
        <w:tc>
          <w:tcPr>
            <w:tcW w:w="1221" w:type="dxa"/>
            <w:shd w:val="clear" w:color="auto" w:fill="E6F7F7"/>
          </w:tcPr>
          <w:p>
            <w:pPr>
              <w:pStyle w:val="TableText"/>
            </w:pPr>
            <w:r>
              <w:rPr>
                <w:b/>
              </w:rPr>
              <w:t xml:space="preserve">Notas</w:t>
            </w: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1. Datos y dónde quedan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¿Qué recibe exactamente el proveedor del modelo cuando un colaborador pega un contrato con nombres y documentos de identidad?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1. Datos y dónde quedan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¿Dónde se almacenan las conversaciones, los documentos y la relación entre cada marcador y el dato real, y cuánto tiempo se conservan?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1. Datos y dónde quedan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¿La protección de los datos se puede desactivar? ¿Quién puede hacerlo?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1. Datos y dónde quedan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¿Cómo se cubren los datos sensibles que el sistema no reconoce automáticamente?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2. Acceso a varios modelos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¿De qué laboratorios son los modelos disponibles hoy y con qué frecuencia se incorporan versiones nuevas?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2. Acceso a varios modelos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¿Puede la empresa restringir un área a los proveedores de modelos que apruebe?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2. Acceso a varios modelos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¿La protección de los datos es la misma para todos los modelos del catálogo?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3. Control por áreas y roles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¿Cada área puede tener sus propios integrantes, modelos, conectores, documentos y reglas?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3. Control por áreas y roles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¿Los permisos se definen por capacidades concretas o solo por perfiles fijos?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4. Reglas y habilidades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¿Las reglas de la empresa y las de cada área se suman, o una reemplaza a la otra?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4. Reglas y habilidades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¿Un colaborador puede desactivar una regla?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5. Visibilidad del uso y del gasto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¿El consumo se ve por persona, por área y por modelo, y en qué momento?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5. Visibilidad del uso y del gasto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¿Cómo se cobra el uso: precio fijo por puesto, cupo o consumo a tarifas de API?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5. Visibilidad del uso y del gasto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¿Se pueden exportar los datos de consumo?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6. Aprobación de acciones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¿Alguna acción con efecto en los sistemas de la empresa se ejecuta sin que una persona la apruebe?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6. Aprobación de acciones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¿Con qué identidad y qué permisos actúa una tarea programada o un agente?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7. Cumplimiento local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¿En qué países procesan los datos la plataforma y cada proveedor de modelos?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7. Cumplimiento local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¿Qué documentación entrega para que la empresa haga su estudio de impacto de privacidad y demuestre las medidas que tomó?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7. Cumplimiento local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¿Qué dicen las condiciones de cada proveedor de modelos sobre el entrenamiento y la conservación de la información?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8. Idioma, soporte y moneda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¿La aplicación, la documentación y el soporte están en español, y en qué horario responde el soporte?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/>
              <w:t xml:space="preserve">8. Idioma, soporte y moneda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¿En qué moneda se cobra, se incluyen los impuestos y qué comprobante se emite?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  <w:tr>
        <w:tc>
          <w:tcPr>
            <w:tcW w:w="2966" w:type="dxa"/>
          </w:tcPr>
          <w:p>
            <w:pPr>
              <w:pStyle w:val="TableText"/>
            </w:pPr>
            <w:r>
              <w:rPr>
                <w:b/>
              </w:rPr>
              <w:t xml:space="preserve">Total ponderado</w:t>
            </w:r>
          </w:p>
        </w:tc>
        <w:tc>
          <w:tcPr>
            <w:tcW w:w="3926" w:type="dxa"/>
          </w:tcPr>
          <w:p>
            <w:pPr>
              <w:pStyle w:val="TableText"/>
            </w:pPr>
            <w:r>
              <w:rPr/>
              <w:t xml:space="preserve">Suma de peso × puntuación</w:t>
            </w: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  <w:tc>
          <w:tcPr>
            <w:tcW w:w="1221" w:type="dxa"/>
          </w:tcPr>
          <w:p>
            <w:pPr>
              <w:pStyle w:val="TableText"/>
            </w:pPr>
          </w:p>
        </w:tc>
      </w:tr>
    </w:tbl>
    <w:p/>
    <w:p>
      <w:pPr>
        <w:pStyle w:val="Heading1"/>
        <w:keepNext/>
      </w:pPr>
      <w:r>
        <w:rPr/>
        <w:t xml:space="preserve">4. Escala de puntuación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5:</w:t>
      </w:r>
      <w:r>
        <w:rPr/>
        <w:t xml:space="preserve"> responde por escrito, con detalle, y lo demuestra en la prueba piloto.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4:</w:t>
      </w:r>
      <w:r>
        <w:rPr/>
        <w:t xml:space="preserve"> responde por escrito con detalle, pero no se pudo comprobar en la prueba piloto.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3:</w:t>
      </w:r>
      <w:r>
        <w:rPr/>
        <w:t xml:space="preserve"> responde de forma general o con condiciones que deben aclararse.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2:</w:t>
      </w:r>
      <w:r>
        <w:rPr/>
        <w:t xml:space="preserve"> la capacidad existe solo en un plan superior, con un costo adicional o en desarrollo.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1:</w:t>
      </w:r>
      <w:r>
        <w:rPr/>
        <w:t xml:space="preserve"> no responde, no ofrece la capacidad o la respuesta es una de las señales de alerta del artículo.</w:t>
      </w:r>
    </w:p>
    <w:p>
      <w:pPr>
        <w:pStyle w:val="Heading1"/>
        <w:keepNext/>
      </w:pPr>
      <w:r>
        <w:rPr/>
        <w:t xml:space="preserve">5. Prueba piloto</w:t>
      </w:r>
    </w:p>
    <w:p>
      <w:pPr>
        <w:pStyle w:val="ListParagraph"/>
        <w:numPr>
          <w:ilvl w:val="0"/>
          <w:numId w:val="1"/>
        </w:numPr>
      </w:pPr>
      <w:r>
        <w:rPr/>
        <w:t xml:space="preserve">Áreas participantes: [dos o tres áreas con necesidades distintas]</w:t>
      </w:r>
    </w:p>
    <w:p>
      <w:pPr>
        <w:pStyle w:val="ListParagraph"/>
        <w:numPr>
          <w:ilvl w:val="0"/>
          <w:numId w:val="1"/>
        </w:numPr>
      </w:pPr>
      <w:r>
        <w:rPr/>
        <w:t xml:space="preserve">Tareas reales por área: [tres o cuatro tareas]</w:t>
      </w:r>
    </w:p>
    <w:p>
      <w:pPr>
        <w:pStyle w:val="ListParagraph"/>
        <w:numPr>
          <w:ilvl w:val="0"/>
          <w:numId w:val="1"/>
        </w:numPr>
      </w:pPr>
      <w:r>
        <w:rPr/>
        <w:t xml:space="preserve">Configuración de las áreas antes de empezar (integrantes, modelos, reglas y documentos): [tiempo y dificultad]</w:t>
      </w:r>
    </w:p>
    <w:p>
      <w:pPr>
        <w:pStyle w:val="ListParagraph"/>
        <w:numPr>
          <w:ilvl w:val="0"/>
          <w:numId w:val="1"/>
        </w:numPr>
      </w:pPr>
      <w:r>
        <w:rPr/>
        <w:t xml:space="preserve">Prueba de protección con un documento ficticio con nombres, documentos de identidad y cifras: [qué texto recibió el modelo, según el proveedor]</w:t>
      </w:r>
    </w:p>
    <w:p>
      <w:pPr>
        <w:pStyle w:val="ListParagraph"/>
        <w:numPr>
          <w:ilvl w:val="0"/>
          <w:numId w:val="1"/>
        </w:numPr>
      </w:pPr>
      <w:r>
        <w:rPr/>
        <w:t xml:space="preserve">Prueba de una acción con aprobación, como redactar y enviar un correo: [¿se ejecutó algo sin aprobación?]</w:t>
      </w:r>
    </w:p>
    <w:p>
      <w:pPr>
        <w:pStyle w:val="ListParagraph"/>
        <w:numPr>
          <w:ilvl w:val="0"/>
          <w:numId w:val="1"/>
        </w:numPr>
      </w:pPr>
      <w:r>
        <w:rPr/>
        <w:t xml:space="preserve">Medición al final: [quién la usó, qué consumió cada área y qué tuvo que corregir una persona]</w:t>
      </w:r>
    </w:p>
    <w:p>
      <w:pPr>
        <w:pStyle w:val="Heading1"/>
        <w:keepNext/>
      </w:pPr>
      <w:r>
        <w:rPr/>
        <w:t xml:space="preserve">6. Decisión</w:t>
      </w:r>
    </w:p>
    <w:p>
      <w:pPr>
        <w:pStyle w:val="ListParagraph"/>
        <w:numPr>
          <w:ilvl w:val="0"/>
          <w:numId w:val="1"/>
        </w:numPr>
      </w:pPr>
      <w:r>
        <w:rPr/>
        <w:t xml:space="preserve">Proveedor elegido: [nombre]</w:t>
      </w:r>
    </w:p>
    <w:p>
      <w:pPr>
        <w:pStyle w:val="ListParagraph"/>
        <w:numPr>
          <w:ilvl w:val="0"/>
          <w:numId w:val="1"/>
        </w:numPr>
      </w:pPr>
      <w:r>
        <w:rPr/>
        <w:t xml:space="preserve">Total ponderado de cada proveedor: A [ ] · B [ ] · C [ ]</w:t>
      </w:r>
    </w:p>
    <w:p>
      <w:pPr>
        <w:pStyle w:val="ListParagraph"/>
        <w:numPr>
          <w:ilvl w:val="0"/>
          <w:numId w:val="1"/>
        </w:numPr>
      </w:pPr>
      <w:r>
        <w:rPr/>
        <w:t xml:space="preserve">Motivo de la decisión: [por qué ganó el proveedor elegido]</w:t>
      </w:r>
    </w:p>
    <w:p>
      <w:pPr>
        <w:pStyle w:val="ListParagraph"/>
        <w:numPr>
          <w:ilvl w:val="0"/>
          <w:numId w:val="1"/>
        </w:numPr>
      </w:pPr>
      <w:r>
        <w:rPr/>
        <w:t xml:space="preserve">Condiciones pendientes antes de contratar: [puntos por aclarar con el proveedor o con el asesor jurídico]</w:t>
      </w:r>
    </w:p>
    <w:p>
      <w:pPr>
        <w:pStyle w:val="ListParagraph"/>
        <w:numPr>
          <w:ilvl w:val="0"/>
          <w:numId w:val="1"/>
        </w:numPr>
      </w:pPr>
      <w:r>
        <w:rPr/>
        <w:t xml:space="preserve">Aprobado por: [cargo] · Fecha: [fecha]</w:t>
      </w:r>
    </w:p>
    <w:sectPr>
      <w:pgSz w:w="15840" w:h="12240" w:orient="landscape"/>
      <w:pgMar w:top="1418" w:right="1418" w:bottom="1418" w:left="1418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1"/>
        <w:lang w:val="es-CO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1"/>
    </w:rPr>
  </w:style>
  <w:style w:type="paragraph" w:styleId="NumberedItem">
    <w:name w:val="Numbered Item"/>
    <w:basedOn w:val="Normal"/>
    <w:pPr>
      <w:tabs>
        <w:tab w:val="left" w:pos="720"/>
      </w:tabs>
      <w:spacing w:after="80"/>
      <w:ind w:left="720" w:hanging="360"/>
    </w:pPr>
  </w:style>
  <w:style w:type="paragraph" w:styleId="Title">
    <w:name w:val="Title"/>
    <w:basedOn w:val="Normal"/>
    <w:pPr>
      <w:spacing w:after="160"/>
    </w:pPr>
    <w:rPr>
      <w:b/>
      <w:color w:val="0B132B"/>
      <w:sz w:val="40"/>
    </w:rPr>
  </w:style>
  <w:style w:type="paragraph" w:styleId="Heading1">
    <w:name w:val="heading 1"/>
    <w:basedOn w:val="Normal"/>
    <w:pPr>
      <w:spacing w:before="280" w:after="100"/>
      <w:outlineLvl w:val="0"/>
    </w:pPr>
    <w:rPr>
      <w:b/>
      <w:color w:val="00797E"/>
      <w:sz w:val="26"/>
    </w:rPr>
  </w:style>
  <w:style w:type="paragraph" w:styleId="ListParagraph">
    <w:name w:val="List Paragraph"/>
    <w:basedOn w:val="Normal"/>
    <w:pPr>
      <w:spacing w:after="80"/>
    </w:pPr>
  </w:style>
  <w:style w:type="paragraph" w:styleId="TableText">
    <w:name w:val="Table Text"/>
    <w:basedOn w:val="Normal"/>
    <w:pPr>
      <w:spacing w:after="0"/>
    </w:pPr>
    <w:rPr>
      <w:sz w:val="19"/>
    </w:rPr>
  </w:style>
  <w:style w:type="paragraph" w:styleId="Note">
    <w:name w:val="Note"/>
    <w:basedOn w:val="Normal"/>
    <w:pPr>
      <w:pBdr>
        <w:left w:val="single" w:sz="12" w:space="8" w:color="01BFC6"/>
      </w:pBdr>
      <w:shd w:val="clear" w:color="auto" w:fill="F2F2F2"/>
      <w:ind w:left="200"/>
    </w:pPr>
    <w:rPr>
      <w:i/>
      <w:sz w:val="19"/>
      <w:color w:val="40404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Evaluación de plataformas de gobernanza de IA (plantilla)</dc:title>
  <dc:creator>NiuCore</dc:creator>
  <dc:language>es-CO</dc:language>
</cp:coreProperties>
</file>